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Untermietvertrag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Zwischen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4"/>
      </w:tblGrid>
      <w:tr>
        <w:trPr>
          <w:tblHeader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Untervermieter/in (Hauptmieter/in)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Name, Vorname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Adresse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Telefon / E-Mail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und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4"/>
      </w:tblGrid>
      <w:tr>
        <w:trPr>
          <w:tblHeader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Untermieter/in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Name, Vorname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Bisherige Adresse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28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Telefon / E-Mail</w:t>
            </w:r>
          </w:p>
        </w:tc>
        <w:tc>
          <w:tcPr>
            <w:tcW w:type="dxa" w:w="65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</w:tbl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1. Mietobjekt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☐ ein möbliertes / unmöbliertes Zimmer (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[Grösse]</w:t>
      </w:r>
      <w:r>
        <w:rPr>
          <w:rFonts w:ascii="Arial" w:cs="Arial" w:eastAsia="Arial" w:hAnsi="Arial"/>
          <w:sz w:val="20"/>
          <w:szCs w:val="20"/>
        </w:rPr>
        <w:t xml:space="preserve"> m²) in der Wohnung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[Adresse, Stockwerk]</w:t>
      </w:r>
      <w:r>
        <w:rPr>
          <w:rFonts w:ascii="Arial" w:cs="Arial" w:eastAsia="Arial" w:hAnsi="Arial"/>
          <w:sz w:val="20"/>
          <w:szCs w:val="20"/>
        </w:rPr>
        <w:t xml:space="preserve">, mit Mitbenützung von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[Küche, Bad, Wohnzimmer, Waschküche]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☐ die ganze Wohnung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[Anzahl]</w:t>
      </w:r>
      <w:r>
        <w:rPr>
          <w:rFonts w:ascii="Arial" w:cs="Arial" w:eastAsia="Arial" w:hAnsi="Arial"/>
          <w:sz w:val="20"/>
          <w:szCs w:val="20"/>
        </w:rPr>
        <w:t xml:space="preserve"> Zimmer an der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[Adresse, Stockwerk]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Mitvermietet: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[z. B. Möbel gemäss Inventarliste, Kellerabteil Nr.]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2. Dauer und Kündigung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Mietbeginn: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☐ Befristet bis am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  <w:r>
        <w:rPr>
          <w:rFonts w:ascii="Arial" w:cs="Arial" w:eastAsia="Arial" w:hAnsi="Arial"/>
          <w:sz w:val="20"/>
          <w:szCs w:val="20"/>
        </w:rPr>
        <w:t xml:space="preserve">. Der Vertrag endet ohne Kündigung.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☐ Unbefristet. Kündigung schriftlich mit einer Frist von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[Frist]</w:t>
      </w:r>
      <w:r>
        <w:rPr>
          <w:rFonts w:ascii="Arial" w:cs="Arial" w:eastAsia="Arial" w:hAnsi="Arial"/>
          <w:sz w:val="20"/>
          <w:szCs w:val="20"/>
        </w:rPr>
        <w:t xml:space="preserve"> auf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[Termin]</w:t>
      </w:r>
      <w:r>
        <w:rPr>
          <w:rFonts w:ascii="Arial" w:cs="Arial" w:eastAsia="Arial" w:hAnsi="Arial"/>
          <w:sz w:val="20"/>
          <w:szCs w:val="20"/>
        </w:rPr>
        <w:t xml:space="preserve">. Ohne Abmachung gilt für möblierte Zimmer eine Frist von 2 Wochen auf das Ende eines Monats (Art. 266e OR), für Wohnungen 3 Monate auf einen ortsüblichen Termin (Art. 266c OR).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Die Untermiete endet spätestens mit dem Ende des Hauptmietvertrags.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3. Mietzins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4"/>
        <w:gridCol w:w="4000"/>
      </w:tblGrid>
      <w:tr>
        <w:trPr>
          <w:tblHeader/>
        </w:trPr>
        <w:tc>
          <w:tcPr>
            <w:tcW w:type="dxa" w:w="53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 Monat</w:t>
            </w:r>
          </w:p>
        </w:tc>
        <w:tc>
          <w:tcPr>
            <w:tcW w:type="dxa" w:w="40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CHF</w:t>
            </w:r>
          </w:p>
        </w:tc>
      </w:tr>
      <w:tr>
        <w:trPr>
          <w:tblHeader w:val="off"/>
        </w:trPr>
        <w:tc>
          <w:tcPr>
            <w:tcW w:type="dxa" w:w="53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Nettomietzins</w:t>
            </w:r>
          </w:p>
        </w:tc>
        <w:tc>
          <w:tcPr>
            <w:tcW w:type="dxa" w:w="40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53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Nebenkosten (Pauschale / Akonto)</w:t>
            </w:r>
          </w:p>
        </w:tc>
        <w:tc>
          <w:tcPr>
            <w:tcW w:type="dxa" w:w="40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53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Möbelzuschlag</w:t>
            </w:r>
          </w:p>
        </w:tc>
        <w:tc>
          <w:tcPr>
            <w:tcW w:type="dxa" w:w="40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53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Total pro Monat</w:t>
            </w:r>
          </w:p>
        </w:tc>
        <w:tc>
          <w:tcPr>
            <w:tcW w:type="dxa" w:w="40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sz w:val="20"/>
          <w:szCs w:val="20"/>
        </w:rPr>
        <w:t xml:space="preserve">Zahlbar im Voraus jeweils bis zum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[1.]</w:t>
      </w:r>
      <w:r>
        <w:rPr>
          <w:rFonts w:ascii="Arial" w:cs="Arial" w:eastAsia="Arial" w:hAnsi="Arial"/>
          <w:sz w:val="20"/>
          <w:szCs w:val="20"/>
        </w:rPr>
        <w:t xml:space="preserve"> des Monats auf: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[IBAN, Kontoinhaber/in]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4. Sicherheitsleistung (Kaution)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CHF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[Betrag]</w:t>
      </w:r>
      <w:r>
        <w:rPr>
          <w:rFonts w:ascii="Arial" w:cs="Arial" w:eastAsia="Arial" w:hAnsi="Arial"/>
          <w:sz w:val="20"/>
          <w:szCs w:val="20"/>
        </w:rPr>
        <w:t xml:space="preserve"> (höchstens drei Monatsmietzinse, Art. 257e Abs. 2 OR), hinterlegt auf einem Mietkautionskonto bei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[Bank]</w:t>
      </w:r>
      <w:r>
        <w:rPr>
          <w:rFonts w:ascii="Arial" w:cs="Arial" w:eastAsia="Arial" w:hAnsi="Arial"/>
          <w:sz w:val="20"/>
          <w:szCs w:val="20"/>
        </w:rPr>
        <w:t xml:space="preserve"> auf den Namen der Untermieterin oder des Untermieters.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5. Gebrauch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Die Untermieterschaft hält sich an die Hausordnung und die Bestimmungen des Hauptmietvertrags, soweit sie die Benützung betreffen.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Eine weitere Untervermietung ist nicht erlaubt. Haustiere nur mit schriftlicher Zustimmung.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Schäden und Mängel sind sofort der Untervermieterschaft zu melden.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6. Zustimmung der Vermieterschaft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☐ Die Vermieterschaft hat der Untermiete am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  <w:r>
        <w:rPr>
          <w:rFonts w:ascii="Arial" w:cs="Arial" w:eastAsia="Arial" w:hAnsi="Arial"/>
          <w:sz w:val="20"/>
          <w:szCs w:val="20"/>
        </w:rPr>
        <w:t xml:space="preserve"> zugestimmt (Art. 262 OR).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7. Rückgabe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Die Mietsache wird gereinigt und mit allen Schlüsseln zurückgegeben. Zustand und Inventar werden bei Beginn und Ende in einem Protokoll festgehalten.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8. Weitere Abmachungen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4"/>
      </w:tblGrid>
      <w:tr>
        <w:trPr>
          <w:tblHeader w:val="off"/>
        </w:trPr>
        <w:tc>
          <w:tcPr>
            <w:tcW w:type="dxa" w:w="93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  <w:highlight w:val="yellow"/>
              </w:rPr>
              <w:t xml:space="preserve">[ ]</w:t>
            </w:r>
          </w:p>
        </w:tc>
      </w:tr>
      <w:tr>
        <w:trPr>
          <w:tblHeader w:val="off"/>
        </w:trPr>
        <w:tc>
          <w:tcPr>
            <w:tcW w:type="dxa" w:w="93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top w:val="single" w:color="000000" w:sz="4" w:space="2"/>
        </w:pBdr>
        <w:ind w:right="5000"/>
      </w:pPr>
      <w:r>
        <w:rPr>
          <w:rFonts w:ascii="Arial" w:cs="Arial" w:eastAsia="Arial" w:hAnsi="Arial"/>
          <w:sz w:val="18"/>
          <w:szCs w:val="18"/>
        </w:rPr>
        <w:t xml:space="preserve">Untervermieter/in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top w:val="single" w:color="000000" w:sz="4" w:space="2"/>
        </w:pBdr>
        <w:ind w:right="5000"/>
      </w:pPr>
      <w:r>
        <w:rPr>
          <w:rFonts w:ascii="Arial" w:cs="Arial" w:eastAsia="Arial" w:hAnsi="Arial"/>
          <w:sz w:val="18"/>
          <w:szCs w:val="18"/>
        </w:rPr>
        <w:t xml:space="preserve">Untermieter/in</w:t>
      </w:r>
    </w:p>
    <w:p>
      <w:r>
        <w:br w:type="page"/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1D5C63"/>
          <w:sz w:val="24"/>
          <w:szCs w:val="24"/>
        </w:rPr>
        <w:t xml:space="preserve">Inventarliste (bei möblierter Untermiete)</w:t>
      </w:r>
    </w:p>
    <w:tbl>
      <w:tblPr>
        <w:tblW w:type="dxa" w:w="935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400"/>
        <w:gridCol w:w="3754"/>
      </w:tblGrid>
      <w:tr>
        <w:trPr>
          <w:tblHeader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Gegenstand</w:t>
            </w:r>
          </w:p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Anzahl</w:t>
            </w:r>
          </w:p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shd w:fill="E6F0F0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Zustand / Bemerkungen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  <w:tr>
        <w:trPr>
          <w:tblHeader w:val="off"/>
        </w:trPr>
        <w:tc>
          <w:tcPr>
            <w:tcW w:type="dxa" w:w="42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1400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  <w:tc>
          <w:tcPr>
            <w:tcW w:type="dxa" w:w="3754"/>
            <w:tcBorders>
              <w:top w:val="single" w:color="B8C2C0" w:sz="4"/>
              <w:left w:val="single" w:color="B8C2C0" w:sz="4"/>
              <w:bottom w:val="single" w:color="B8C2C0" w:sz="4"/>
              <w:right w:val="single" w:color="B8C2C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/>
        </w:tc>
      </w:tr>
    </w:tbl>
    <w:p>
      <w:pPr>
        <w:spacing w:after="80" w:before="24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Mietkompass · Vorlage, keine Rechtsberatung. Massgebend sind das Obligationenrecht (OR) und der Mietvertrag. Kostenlose Auskunft: Schlichtungsbehörde für Mietsachen am Ort der Liegenschaft.</w:t>
      </w:r>
    </w:p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Arial" w:cs="Arial" w:eastAsia="Arial" w:hAnsi="Arial"/>
      <w:b/>
      <w:bCs/>
      <w:color w:val="1D5C63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Mietkompass</dc:creator>
  <cp:lastModifiedBy>Un-named</cp:lastModifiedBy>
  <cp:revision>1</cp:revision>
  <dcterms:created xsi:type="dcterms:W3CDTF">2026-11-04T14:19:00.067Z</dcterms:created>
  <dcterms:modified xsi:type="dcterms:W3CDTF">2026-11-04T14:19:00.067Z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